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Adresát: </w:t>
        <w:tab/>
        <w:t xml:space="preserve">HERO Comics, Vranovská 1032/83 61400 Brno</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HERO Comics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b w:val="1"/>
          <w:smallCaps w:val="1"/>
          <w:sz w:val="20"/>
          <w:szCs w:val="20"/>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